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5077143B"/>
    <w:rsid w:val="5CCB4555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4</TotalTime>
  <ScaleCrop>false</ScaleCrop>
  <LinksUpToDate>false</LinksUpToDate>
  <CharactersWithSpaces>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lenovo</cp:lastModifiedBy>
  <dcterms:modified xsi:type="dcterms:W3CDTF">2025-04-29T07:15:39Z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1F3732F93E394A1EA22CD9781C9CECBE_12</vt:lpwstr>
  </property>
  <property fmtid="{D5CDD505-2E9C-101B-9397-08002B2CF9AE}" pid="4" name="KSOTemplateDocerSaveRecord">
    <vt:lpwstr>eyJoZGlkIjoiNDA3YTVkOTlmNzgzOTk5NzUwNzg5YjEwMjExOTdjYzQifQ==</vt:lpwstr>
  </property>
</Properties>
</file>